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DFE"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F56C0A" w:rsidRDefault="00C34E3E" w:rsidP="00027B26">
      <w:pPr>
        <w:textAlignment w:val="auto"/>
        <w:rPr>
          <w:rFonts w:ascii="Arial" w:hAnsi="Arial" w:cs="Arial"/>
          <w:sz w:val="24"/>
          <w:szCs w:val="24"/>
        </w:rPr>
      </w:pPr>
      <w:r>
        <w:rPr>
          <w:rFonts w:ascii="Arial" w:hAnsi="Arial" w:cs="Arial"/>
          <w:bCs/>
          <w:color w:val="000000"/>
          <w:sz w:val="24"/>
          <w:szCs w:val="24"/>
        </w:rPr>
        <w:t xml:space="preserve">za kterou jedná </w:t>
      </w:r>
      <w:r w:rsidR="00F56C0A">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2A6C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0622B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0622B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0622B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008D59EC">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D59EC">
        <w:rPr>
          <w:rFonts w:ascii="Arial" w:hAnsi="Arial" w:cs="Arial"/>
          <w:sz w:val="24"/>
          <w:szCs w:val="24"/>
        </w:rPr>
        <w:t>.</w:t>
      </w:r>
      <w:r w:rsidR="008F0409">
        <w:rPr>
          <w:rFonts w:ascii="Arial" w:hAnsi="Arial" w:cs="Arial"/>
          <w:sz w:val="24"/>
          <w:szCs w:val="24"/>
        </w:rPr>
        <w:t xml:space="preserve"> </w:t>
      </w:r>
    </w:p>
    <w:p w:rsidR="002D669F" w:rsidRDefault="000622B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0622B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0622B5"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B9667D">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lastRenderedPageBreak/>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0622B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0622B5"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0622B5"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0622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0622B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396DFE">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převedených práv, pokud nebude zahájeno uskutečňování účelu převodu do 3 let od </w:t>
      </w:r>
      <w:r w:rsidR="00FA7E8A" w:rsidRPr="00FB2A8B">
        <w:rPr>
          <w:rFonts w:ascii="Arial" w:hAnsi="Arial" w:cs="Arial"/>
          <w:i/>
          <w:sz w:val="24"/>
          <w:szCs w:val="24"/>
          <w:highlight w:val="yellow"/>
        </w:rPr>
        <w:lastRenderedPageBreak/>
        <w:t>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0622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0622B5"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B9667D" w:rsidRPr="00B9667D">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0622B5"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0622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0622B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9667D">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0622B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B9667D">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B9667D">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464CC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64CC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0622B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0622B5" w:rsidP="00C97A1F">
      <w:pPr>
        <w:jc w:val="both"/>
        <w:rPr>
          <w:rFonts w:ascii="Arial" w:hAnsi="Arial" w:cs="Arial"/>
          <w:sz w:val="24"/>
          <w:szCs w:val="24"/>
        </w:rPr>
      </w:pPr>
    </w:p>
    <w:p w:rsidR="00C97A1F" w:rsidRDefault="000622B5"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F56C0A">
        <w:rPr>
          <w:rFonts w:ascii="Arial" w:hAnsi="Arial" w:cs="Arial"/>
          <w:sz w:val="24"/>
          <w:szCs w:val="24"/>
        </w:rPr>
        <w:t>Ing. Aleš Čermák, PhD. MBA,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bookmarkStart w:id="0" w:name="_GoBack"/>
      <w:bookmarkEnd w:id="0"/>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2B5" w:rsidRDefault="000622B5">
      <w:r>
        <w:separator/>
      </w:r>
    </w:p>
  </w:endnote>
  <w:endnote w:type="continuationSeparator" w:id="0">
    <w:p w:rsidR="000622B5" w:rsidRDefault="0006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7F2EE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7F2EE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184076">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2B5" w:rsidRDefault="000622B5">
      <w:r>
        <w:separator/>
      </w:r>
    </w:p>
  </w:footnote>
  <w:footnote w:type="continuationSeparator" w:id="0">
    <w:p w:rsidR="000622B5" w:rsidRDefault="0006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2B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6E54"/>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4076"/>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05B5"/>
    <w:rsid w:val="00341571"/>
    <w:rsid w:val="00372DDF"/>
    <w:rsid w:val="0037357A"/>
    <w:rsid w:val="0038256C"/>
    <w:rsid w:val="00382CDB"/>
    <w:rsid w:val="003923F9"/>
    <w:rsid w:val="00392E11"/>
    <w:rsid w:val="00394F8E"/>
    <w:rsid w:val="00396DFE"/>
    <w:rsid w:val="003A0248"/>
    <w:rsid w:val="003A708C"/>
    <w:rsid w:val="003B3863"/>
    <w:rsid w:val="003B5AC1"/>
    <w:rsid w:val="003C312A"/>
    <w:rsid w:val="003C3899"/>
    <w:rsid w:val="003D3985"/>
    <w:rsid w:val="003D5F55"/>
    <w:rsid w:val="003D73B6"/>
    <w:rsid w:val="003E601E"/>
    <w:rsid w:val="003F19B8"/>
    <w:rsid w:val="003F1EAA"/>
    <w:rsid w:val="004152EC"/>
    <w:rsid w:val="00415C27"/>
    <w:rsid w:val="00423F1B"/>
    <w:rsid w:val="004268C3"/>
    <w:rsid w:val="00433926"/>
    <w:rsid w:val="00437900"/>
    <w:rsid w:val="0044362E"/>
    <w:rsid w:val="00444DBB"/>
    <w:rsid w:val="004465C1"/>
    <w:rsid w:val="004507F7"/>
    <w:rsid w:val="0045432F"/>
    <w:rsid w:val="00455733"/>
    <w:rsid w:val="00456AB2"/>
    <w:rsid w:val="004571B1"/>
    <w:rsid w:val="00457459"/>
    <w:rsid w:val="00464CC5"/>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7F2EE9"/>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D59EC"/>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9667D"/>
    <w:rsid w:val="00BA2D04"/>
    <w:rsid w:val="00BA566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3DB7"/>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1741"/>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56C0A"/>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135F7-9672-47D0-90C7-19AD06B9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1576</Words>
  <Characters>9302</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2022-06-05T12:59:00Z</dcterms:created>
  <dcterms:modified xsi:type="dcterms:W3CDTF">2022-07-19T07:37:00Z</dcterms:modified>
</cp:coreProperties>
</file>